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David Maljković: “S kolekcijom”</w:t>
      </w:r>
    </w:p>
    <w:p w:rsidR="00000000" w:rsidDel="00000000" w:rsidP="00000000" w:rsidRDefault="00000000" w:rsidRPr="00000000" w14:paraId="00000003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Kustoski tekst kustosice izložbe Ivane Meštrov</w:t>
      </w:r>
    </w:p>
    <w:p w:rsidR="00000000" w:rsidDel="00000000" w:rsidP="00000000" w:rsidRDefault="00000000" w:rsidRPr="00000000" w14:paraId="00000004">
      <w:pPr>
        <w:spacing w:after="1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Izložba kao instalacija, estetski medij i kulturološka praksa, jedno je od primarnih područja suvremenih estetskih praksi. Reprezentant i kulisa transformacija umjetničkih činjenica, odraz razvoja novih tehnologija percepcije i načina gledanja, izložba je svojevrsna vremenska kapsula i manifest preživljenih slikovnih formi, estetskih gesti i stavova. U svojoj umjetničkoj praksi David Maljković koristi izložbu kao sirovi materijal i otvorenu formu kroz koju cirkuliraju narativni odrazi i materijalni fakti njegovih prethodno ostvarenih oblika i prezentacijskih struktura, kumulirajući nove prostorno-specifične instalacije, kolaže i asemblaže. </w:t>
      </w:r>
    </w:p>
    <w:p w:rsidR="00000000" w:rsidDel="00000000" w:rsidP="00000000" w:rsidRDefault="00000000" w:rsidRPr="00000000" w14:paraId="00000006">
      <w:pPr>
        <w:spacing w:after="100" w:line="276" w:lineRule="auto"/>
        <w:rPr/>
      </w:pPr>
      <w:r w:rsidDel="00000000" w:rsidR="00000000" w:rsidRPr="00000000">
        <w:rPr>
          <w:i w:val="1"/>
          <w:rtl w:val="0"/>
        </w:rPr>
        <w:t xml:space="preserve">S kolekcijom</w:t>
      </w:r>
      <w:r w:rsidDel="00000000" w:rsidR="00000000" w:rsidRPr="00000000">
        <w:rPr>
          <w:rtl w:val="0"/>
        </w:rPr>
        <w:t xml:space="preserve"> izložba je u kojoj se ovaj autor po prvi puta tako sveobuhvatno bavi jednom javnom kolekcijom koja nije direktan odraz njegovih vlastitih materijalnih, prostornih i sadržajnih istraživanja. No, iako možda ne na prvi pogled, niti ovdje ne izostaje autoreferencijalnosti. Naime, Muzej moderne i suvremene umjetnosti u Rijeci okružje je autorovih ranih umjetničkih početaka 1990-ih (Maljković je i rođen u Rijeci 1973.) i potencijalno poticajan prostor za sagledavanje i reviziju autorskih pozicija nakon dvadesetak godina kontinuirane prisutnosti na međunarodnoj umjetničkoj sceni. Izložba </w:t>
      </w:r>
      <w:r w:rsidDel="00000000" w:rsidR="00000000" w:rsidRPr="00000000">
        <w:rPr>
          <w:i w:val="1"/>
          <w:rtl w:val="0"/>
        </w:rPr>
        <w:t xml:space="preserve">S kolekcijom</w:t>
      </w:r>
      <w:r w:rsidDel="00000000" w:rsidR="00000000" w:rsidRPr="00000000">
        <w:rPr>
          <w:rtl w:val="0"/>
        </w:rPr>
        <w:t xml:space="preserve"> vrti se oko mreže Maljkovićevih suptilnih vizualnih znakova, ali i specifičnih narativnih fragmenata i uočenih lokalnih referenci. Muzej, čija se kolekcija gradi od 1948. godine, a čiji je jedan od pokretača i prvi direktor ujedno i umjetnik,Vilim Svečnjak, od svog je zasnivanja promijenio više lokacija i imena, da bi se odnedavno (2017.) našao na lokaciji koja će mu kroz europski mandat kulture 2020. dati širi i trajniji kontekst unutar riječkoga umjetničkog okruga. Muzej skrbi nad heterogenom kolekcijom koja sadržava otprilike 8.000 artefakata, markiranih specifičnim podnebljem, ali i programatskim izložbenim manifestacijama poput </w:t>
      </w:r>
      <w:r w:rsidDel="00000000" w:rsidR="00000000" w:rsidRPr="00000000">
        <w:rPr>
          <w:i w:val="1"/>
          <w:rtl w:val="0"/>
        </w:rPr>
        <w:t xml:space="preserve">Bijenala mladih umjetnika Jugoslavije </w:t>
      </w:r>
      <w:r w:rsidDel="00000000" w:rsidR="00000000" w:rsidRPr="00000000">
        <w:rPr>
          <w:rtl w:val="0"/>
        </w:rPr>
        <w:t xml:space="preserve">(1960. – 1991.), </w:t>
      </w:r>
      <w:r w:rsidDel="00000000" w:rsidR="00000000" w:rsidRPr="00000000">
        <w:rPr>
          <w:i w:val="1"/>
          <w:rtl w:val="0"/>
        </w:rPr>
        <w:t xml:space="preserve">Bijenala mladih Mediterana </w:t>
      </w:r>
      <w:r w:rsidDel="00000000" w:rsidR="00000000" w:rsidRPr="00000000">
        <w:rPr>
          <w:rtl w:val="0"/>
        </w:rPr>
        <w:t xml:space="preserve">(1993. – 1997., posredno kao dio BJCEM mreže kroz 2000.), međunarodnih izložbi crteža i modernističkih salona (1954. – 1963.).</w:t>
      </w:r>
    </w:p>
    <w:p w:rsidR="00000000" w:rsidDel="00000000" w:rsidP="00000000" w:rsidRDefault="00000000" w:rsidRPr="00000000" w14:paraId="00000007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Autorskom je intervencijom (po Maljkovićevim riječima 'gestom') kolekcija Muzeja tretirana nehijerarhijski i nelinearno. Muzejski su predmeti postavljeni na istoj razini, iznad klasičnog očišta promatrača, na posebno izrađenoj masivnoj polici koja se proteže 40 m dugim izložbenim prostorom. Nerijetko nevidljivi i zatvoreni u depo zbog kontinuiranog manjka prostora za izlaganje stalnog postava kolekcije kroz povijest muzeja, a možda i opće potrebe za tim, oni su ovdje tretirani kao skupni, panoramski fakti, a ne singularni artefakti. Dani na pogled, neki više, a neki manje u svojoj materijalnoj prezentnosti, oni su </w:t>
      </w:r>
      <w:r w:rsidDel="00000000" w:rsidR="00000000" w:rsidRPr="00000000">
        <w:rPr>
          <w:i w:val="1"/>
          <w:rtl w:val="0"/>
        </w:rPr>
        <w:t xml:space="preserve">zipani folderi</w:t>
      </w:r>
      <w:r w:rsidDel="00000000" w:rsidR="00000000" w:rsidRPr="00000000">
        <w:rPr>
          <w:rtl w:val="0"/>
        </w:rPr>
        <w:t xml:space="preserve"> kolektivne memorije jedne zajednice, kao i generalni marker umjetničkih stvaranja modernog i suvremenog razdoblja koje će svaki posjetitelj moći čitati bez muzeografskog šalabahtera, koristeći ključeve vlastitih referenci. Takva scenografija izložbe postavlja otvoreni prostorni tlocrt za buduću kolekciju programskih aktivnosti, ponašanja i gesti koje će se desiti uz muzejsku kolekciju.</w:t>
      </w:r>
    </w:p>
    <w:p w:rsidR="00000000" w:rsidDel="00000000" w:rsidP="00000000" w:rsidRDefault="00000000" w:rsidRPr="00000000" w14:paraId="00000008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Unutar izložbe djeluje muzejski bar čiji je voditelj Damir Čargonja Čarli, nekadašnji voditelj značajnog društveno-kulturnog prostora Rijeke kroz 90-te i 2000-te, MMC-a Palach, i danas vitalni animator riječke scene. Tijekom njezina trajanja u otvorenom će se tlocrtu desiti dvije večere/i, koje će dati na važnosti, po Maljkoviću bitnim protagonistima riječke kulturno-umjetničke scene, nekad i sad. Neka buduća izložbena događanja uključuju i radionicu sa studentima na kojoj se kolekcija razmatra kao skripta, a digitalna muzejska baza podataka služi kao komunikacijski alat i poticaj za studentske intervencije i komentare. Studenti/ce će ovoj specifičnoj kolekciji prići iz različitih očišta, relativizirajućih geo-kulturoloških blizina, ali i distanci. Njihovi će prijevodi i pogledi utkani u dijalog s kolekcijom postati integralnim dijelom izložbe. </w:t>
      </w:r>
    </w:p>
    <w:p w:rsidR="00000000" w:rsidDel="00000000" w:rsidP="00000000" w:rsidRDefault="00000000" w:rsidRPr="00000000" w14:paraId="00000009">
      <w:pPr>
        <w:spacing w:after="100" w:line="276" w:lineRule="auto"/>
        <w:rPr/>
      </w:pPr>
      <w:r w:rsidDel="00000000" w:rsidR="00000000" w:rsidRPr="00000000">
        <w:rPr>
          <w:i w:val="1"/>
          <w:rtl w:val="0"/>
        </w:rPr>
        <w:t xml:space="preserve">S kolekcijom</w:t>
      </w:r>
      <w:r w:rsidDel="00000000" w:rsidR="00000000" w:rsidRPr="00000000">
        <w:rPr>
          <w:rtl w:val="0"/>
        </w:rPr>
        <w:t xml:space="preserve"> otvara prostor i trima autorima mlađe generacije, koji se na različite načine dotiču njezinih tema – kolekcije i muzeja kao društvene baze i infrastrukture. </w:t>
      </w:r>
    </w:p>
    <w:p w:rsidR="00000000" w:rsidDel="00000000" w:rsidP="00000000" w:rsidRDefault="00000000" w:rsidRPr="00000000" w14:paraId="0000000A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Nora Turato u korelaciji s riječkom građanskom kolekcijom Vila Ružić gradi druge načine pristupa zbirci. Turato, koja u svojoj zapaženoj umjetničkoj praksi performativnog karaktera kontinuirano prikuplja jezične naplavine iz najrazličitijih izvora (od interneta preko društvenih mreža, medija, reklama...) pretačući ih u bazene truizama, promatra jezik kao </w:t>
      </w:r>
      <w:r w:rsidDel="00000000" w:rsidR="00000000" w:rsidRPr="00000000">
        <w:rPr>
          <w:i w:val="1"/>
          <w:rtl w:val="0"/>
        </w:rPr>
        <w:t xml:space="preserve">genius loci </w:t>
      </w:r>
      <w:r w:rsidDel="00000000" w:rsidR="00000000" w:rsidRPr="00000000">
        <w:rPr>
          <w:rtl w:val="0"/>
        </w:rPr>
        <w:t xml:space="preserve">žamora današnjice, ali ga i internalizira kroz vlastiti autorski metabolizam i ko-produkciju novih značenja. </w:t>
      </w:r>
    </w:p>
    <w:p w:rsidR="00000000" w:rsidDel="00000000" w:rsidP="00000000" w:rsidRDefault="00000000" w:rsidRPr="00000000" w14:paraId="0000000B">
      <w:pPr>
        <w:spacing w:after="100" w:line="276" w:lineRule="auto"/>
        <w:rPr/>
      </w:pPr>
      <w:r w:rsidDel="00000000" w:rsidR="00000000" w:rsidRPr="00000000">
        <w:rPr>
          <w:i w:val="1"/>
          <w:rtl w:val="0"/>
        </w:rPr>
        <w:t xml:space="preserve">S kolekcijom</w:t>
      </w:r>
      <w:r w:rsidDel="00000000" w:rsidR="00000000" w:rsidRPr="00000000">
        <w:rPr>
          <w:rtl w:val="0"/>
        </w:rPr>
        <w:t xml:space="preserve"> ugošćava i </w:t>
      </w:r>
      <w:r w:rsidDel="00000000" w:rsidR="00000000" w:rsidRPr="00000000">
        <w:rPr>
          <w:i w:val="1"/>
          <w:rtl w:val="0"/>
        </w:rPr>
        <w:t xml:space="preserve">Muzej kristalne lubanje</w:t>
      </w:r>
      <w:r w:rsidDel="00000000" w:rsidR="00000000" w:rsidRPr="00000000">
        <w:rPr>
          <w:rtl w:val="0"/>
        </w:rPr>
        <w:t xml:space="preserve"> kojega je 2019. utemeljio vizualni umjetnik i grafički dizajner, Niko Mihaljević. Kristalna lubanja nije samo mitologizirani artefakt smješten u imaginarij revitalizirajuće popularne kulture (kristalna lubanja kao predmet jednog od nastavaka filmskog serijala </w:t>
      </w:r>
      <w:r w:rsidDel="00000000" w:rsidR="00000000" w:rsidRPr="00000000">
        <w:rPr>
          <w:i w:val="1"/>
          <w:rtl w:val="0"/>
        </w:rPr>
        <w:t xml:space="preserve">Indiana Jones</w:t>
      </w:r>
      <w:r w:rsidDel="00000000" w:rsidR="00000000" w:rsidRPr="00000000">
        <w:rPr>
          <w:rtl w:val="0"/>
        </w:rPr>
        <w:t xml:space="preserve">, epizode Bonnellijevog stripa Martin Mystère…) nego je i </w:t>
      </w:r>
      <w:r w:rsidDel="00000000" w:rsidR="00000000" w:rsidRPr="00000000">
        <w:rPr>
          <w:i w:val="1"/>
          <w:rtl w:val="0"/>
        </w:rPr>
        <w:t xml:space="preserve">false fact </w:t>
      </w:r>
      <w:r w:rsidDel="00000000" w:rsidR="00000000" w:rsidRPr="00000000">
        <w:rPr>
          <w:rtl w:val="0"/>
        </w:rPr>
        <w:t xml:space="preserve">(krivo datiran predmet oduzete aure). U zasićenom izložbenom prostoru dešava se ironična i poletna Mihaljevićeva subverzija na rubovima onoga što Hito Steyerl naziva lošom slikom. U izložbenom prostoru se predstavlja nezakonita kopilad naoko izvorne slike upitnog rodoslovlja predstavljene u nizu generacija. Prkosi se baštini, nacionalnoj kulturi pa i autorskim pravima, ruga se obećanjima digitalne tehnologije, a slika se prenosi kao mamac, indeks, meka ili podsjetnik na svoje bivše (ako je ikada i postojalo) biće.</w:t>
      </w:r>
    </w:p>
    <w:p w:rsidR="00000000" w:rsidDel="00000000" w:rsidP="00000000" w:rsidRDefault="00000000" w:rsidRPr="00000000" w14:paraId="0000000C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U sklopu izložbe, fasadu muzejske zgrade koju tek čeka obnova, prekrila je sjajna i gusta crvena boja, monokromna umjetnička intervencija Dore Budor. Ona specifično označava zgradu i sve njezine detalje ukazujući na izvjesne scenarije za nju (prostorno širenje muzeja na drugi kat), ali i otvarajući prostor za </w:t>
      </w:r>
      <w:r w:rsidDel="00000000" w:rsidR="00000000" w:rsidRPr="00000000">
        <w:rPr>
          <w:i w:val="1"/>
          <w:rtl w:val="0"/>
        </w:rPr>
        <w:t xml:space="preserve">community</w:t>
      </w:r>
      <w:r w:rsidDel="00000000" w:rsidR="00000000" w:rsidRPr="00000000">
        <w:rPr>
          <w:rtl w:val="0"/>
        </w:rPr>
        <w:t xml:space="preserve"> fikcije. Koristeći se primjerima iz kinematografije, Budor se u radu referira na arhitektonska obilježja u filmu, pri čemu se crvena boja dovodi u vezu s filmom </w:t>
      </w:r>
      <w:r w:rsidDel="00000000" w:rsidR="00000000" w:rsidRPr="00000000">
        <w:rPr>
          <w:i w:val="1"/>
          <w:rtl w:val="0"/>
        </w:rPr>
        <w:t xml:space="preserve">Crvena pustinja</w:t>
      </w:r>
      <w:r w:rsidDel="00000000" w:rsidR="00000000" w:rsidRPr="00000000">
        <w:rPr>
          <w:rtl w:val="0"/>
        </w:rPr>
        <w:t xml:space="preserve"> Michelangela Antonionija. Simptomatičan je i rečenični slijed preuzet iz filma: </w:t>
      </w:r>
      <w:r w:rsidDel="00000000" w:rsidR="00000000" w:rsidRPr="00000000">
        <w:rPr>
          <w:i w:val="1"/>
          <w:rtl w:val="0"/>
        </w:rPr>
        <w:t xml:space="preserve">There’s something terrible about reality and I do not know what it is. No one will tell me.</w:t>
      </w:r>
      <w:r w:rsidDel="00000000" w:rsidR="00000000" w:rsidRPr="00000000">
        <w:rPr>
          <w:rtl w:val="0"/>
        </w:rPr>
        <w:t xml:space="preserve"> po kojoj je Dora Budor nazvala intervenciju, a koja kao salivena prianja izložbi.I današnjem vremenu.</w:t>
      </w:r>
    </w:p>
    <w:p w:rsidR="00000000" w:rsidDel="00000000" w:rsidP="00000000" w:rsidRDefault="00000000" w:rsidRPr="00000000" w14:paraId="0000000D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Izložba </w:t>
      </w:r>
      <w:r w:rsidDel="00000000" w:rsidR="00000000" w:rsidRPr="00000000">
        <w:rPr>
          <w:i w:val="1"/>
          <w:rtl w:val="0"/>
        </w:rPr>
        <w:t xml:space="preserve">S kolekcijom</w:t>
      </w:r>
      <w:r w:rsidDel="00000000" w:rsidR="00000000" w:rsidRPr="00000000">
        <w:rPr>
          <w:rtl w:val="0"/>
        </w:rPr>
        <w:t xml:space="preserve"> kompleksan je spoj i otvoren sustav. Svoje cjelovite konture zadobit će kroz trajanje izložbe i u nizu interakcija neizvjesnog ishoda. </w:t>
      </w:r>
      <w:r w:rsidDel="00000000" w:rsidR="00000000" w:rsidRPr="00000000">
        <w:rPr>
          <w:i w:val="1"/>
          <w:rtl w:val="0"/>
        </w:rPr>
        <w:t xml:space="preserve">S kolekcijom</w:t>
      </w:r>
      <w:r w:rsidDel="00000000" w:rsidR="00000000" w:rsidRPr="00000000">
        <w:rPr>
          <w:rtl w:val="0"/>
        </w:rPr>
        <w:t xml:space="preserve"> otvara pitanje vrijednosti i društvenih odgovornosti koje gradimo unutar i izvan muzejskih zidova, među muzejskim predmetima, programskim aktivnostima, muzejskim radnicima i muzejskim korisnicima.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  <w:t xml:space="preserve">Supported by </w:t>
    </w:r>
    <w:r w:rsidDel="00000000" w:rsidR="00000000" w:rsidRPr="00000000">
      <w:rPr/>
      <w:drawing>
        <wp:inline distB="114300" distT="114300" distL="114300" distR="114300">
          <wp:extent cx="1219200" cy="51435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536"/>
        <w:tab w:val="right" w:pos="9072"/>
      </w:tabs>
      <w:spacing w:line="360" w:lineRule="auto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2595563" cy="7239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-342896</wp:posOffset>
          </wp:positionH>
          <wp:positionV relativeFrom="paragraph">
            <wp:posOffset>-9522</wp:posOffset>
          </wp:positionV>
          <wp:extent cx="1343660" cy="604520"/>
          <wp:effectExtent b="0" l="0" r="0" t="0"/>
          <wp:wrapSquare wrapText="bothSides" distB="0" distT="0" distL="114300" distR="11430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660" cy="604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krgE4HYyKtUH82IfcUaRr9HRQ==">AMUW2mVuNnY40JGYY2TrqtYn8RwP9NViaaWT3Xg1SEHc/3r5uyYbWdmj51WiWC+DSu03qeFmPfccmYx7i3gAx4opksbs+HNtWgycRey1yuatdAhb4tRp7Ag=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